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7E8" w:rsidRPr="0017769F" w:rsidRDefault="00413FFB" w:rsidP="003F0CA0">
      <w:pPr>
        <w:jc w:val="right"/>
        <w:rPr>
          <w:rFonts w:ascii="Arial" w:hAnsi="Arial" w:cs="Arial"/>
          <w:b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b/>
          <w:sz w:val="22"/>
          <w:szCs w:val="22"/>
        </w:rPr>
        <w:t>I</w:t>
      </w:r>
      <w:r w:rsidR="001C7EFB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>I.</w:t>
      </w:r>
      <w:r w:rsidR="002C1C20">
        <w:rPr>
          <w:rFonts w:ascii="Arial" w:hAnsi="Arial" w:cs="Arial"/>
          <w:b/>
          <w:sz w:val="22"/>
          <w:szCs w:val="22"/>
        </w:rPr>
        <w:t>a</w:t>
      </w:r>
      <w:proofErr w:type="spellEnd"/>
      <w:proofErr w:type="gramEnd"/>
    </w:p>
    <w:p w:rsidR="00C110F9" w:rsidRPr="005A6304" w:rsidRDefault="00C110F9" w:rsidP="00FE27E8">
      <w:pPr>
        <w:jc w:val="right"/>
        <w:rPr>
          <w:rFonts w:ascii="Arial" w:hAnsi="Arial" w:cs="Arial"/>
          <w:b/>
          <w:spacing w:val="20"/>
          <w:position w:val="6"/>
          <w:sz w:val="22"/>
          <w:szCs w:val="22"/>
        </w:rPr>
      </w:pPr>
    </w:p>
    <w:p w:rsidR="002A672E" w:rsidRPr="00ED4EBD" w:rsidRDefault="0040404C" w:rsidP="006858E5">
      <w:pPr>
        <w:jc w:val="center"/>
        <w:rPr>
          <w:rFonts w:ascii="Arial" w:hAnsi="Arial" w:cs="Arial"/>
          <w:b/>
          <w:sz w:val="22"/>
          <w:szCs w:val="22"/>
        </w:rPr>
      </w:pPr>
      <w:r w:rsidRPr="00ED4EBD">
        <w:rPr>
          <w:rFonts w:ascii="Arial" w:hAnsi="Arial" w:cs="Arial"/>
          <w:b/>
          <w:sz w:val="22"/>
          <w:szCs w:val="22"/>
        </w:rPr>
        <w:t>PŘEDKLÁDACÍ ZPRÁVA</w:t>
      </w:r>
    </w:p>
    <w:p w:rsidR="002440BD" w:rsidRPr="00ED4EBD" w:rsidRDefault="002440BD" w:rsidP="007F16DF">
      <w:pPr>
        <w:rPr>
          <w:rFonts w:ascii="Arial" w:hAnsi="Arial" w:cs="Arial"/>
          <w:sz w:val="22"/>
          <w:szCs w:val="22"/>
        </w:rPr>
      </w:pPr>
    </w:p>
    <w:p w:rsidR="0085300A" w:rsidRDefault="0085300A" w:rsidP="00E92498">
      <w:pPr>
        <w:jc w:val="both"/>
        <w:rPr>
          <w:rFonts w:ascii="Arial" w:hAnsi="Arial" w:cs="Arial"/>
          <w:sz w:val="22"/>
          <w:szCs w:val="22"/>
        </w:rPr>
      </w:pPr>
      <w:r w:rsidRPr="00ED4EBD">
        <w:rPr>
          <w:rFonts w:ascii="Arial" w:hAnsi="Arial" w:cs="Arial"/>
          <w:sz w:val="22"/>
          <w:szCs w:val="22"/>
        </w:rPr>
        <w:tab/>
      </w:r>
      <w:r w:rsidR="00297054" w:rsidRPr="00297054">
        <w:rPr>
          <w:rFonts w:ascii="Arial" w:hAnsi="Arial" w:cs="Arial"/>
          <w:sz w:val="22"/>
          <w:szCs w:val="22"/>
        </w:rPr>
        <w:t>Vláda České republiky začala analyzovat přínosy a náklady členství ve dvou bankách, které vznikly v rámci Rady vzájemné hospodářské pomoci – Mezinárodní bance hospodářské spolupráce</w:t>
      </w:r>
      <w:r w:rsidR="00297054">
        <w:rPr>
          <w:rFonts w:ascii="Arial" w:hAnsi="Arial" w:cs="Arial"/>
          <w:sz w:val="22"/>
          <w:szCs w:val="22"/>
        </w:rPr>
        <w:t xml:space="preserve"> (dále „MBHS) a</w:t>
      </w:r>
      <w:r w:rsidR="00297054" w:rsidRPr="00297054">
        <w:rPr>
          <w:rFonts w:ascii="Arial" w:hAnsi="Arial" w:cs="Arial"/>
          <w:sz w:val="22"/>
          <w:szCs w:val="22"/>
        </w:rPr>
        <w:t xml:space="preserve"> Mezinárodní investiční bance, a to v souladu s programovým prohlášením vlády a zájmem o revizi vztahů s R</w:t>
      </w:r>
      <w:bookmarkStart w:id="0" w:name="_GoBack"/>
      <w:bookmarkEnd w:id="0"/>
      <w:r w:rsidR="00297054" w:rsidRPr="00297054">
        <w:rPr>
          <w:rFonts w:ascii="Arial" w:hAnsi="Arial" w:cs="Arial"/>
          <w:sz w:val="22"/>
          <w:szCs w:val="22"/>
        </w:rPr>
        <w:t>uskem.</w:t>
      </w:r>
      <w:r w:rsidR="00B300B7">
        <w:rPr>
          <w:rFonts w:ascii="Arial" w:hAnsi="Arial" w:cs="Arial"/>
          <w:sz w:val="22"/>
          <w:szCs w:val="22"/>
        </w:rPr>
        <w:t xml:space="preserve"> Od začátku roku 2022 se však chování Ruské federace </w:t>
      </w:r>
      <w:r w:rsidR="00E92498">
        <w:rPr>
          <w:rFonts w:ascii="Arial" w:hAnsi="Arial" w:cs="Arial"/>
          <w:sz w:val="22"/>
          <w:szCs w:val="22"/>
        </w:rPr>
        <w:t xml:space="preserve">(RF) </w:t>
      </w:r>
      <w:r w:rsidR="00B300B7">
        <w:rPr>
          <w:rFonts w:ascii="Arial" w:hAnsi="Arial" w:cs="Arial"/>
          <w:sz w:val="22"/>
          <w:szCs w:val="22"/>
        </w:rPr>
        <w:t xml:space="preserve">na mezinárodní scéně </w:t>
      </w:r>
      <w:r w:rsidR="00E92498">
        <w:rPr>
          <w:rFonts w:ascii="Arial" w:hAnsi="Arial" w:cs="Arial"/>
          <w:sz w:val="22"/>
          <w:szCs w:val="22"/>
        </w:rPr>
        <w:t>kontinuálně zhoršuje</w:t>
      </w:r>
      <w:r w:rsidR="00B300B7">
        <w:rPr>
          <w:rFonts w:ascii="Arial" w:hAnsi="Arial" w:cs="Arial"/>
          <w:sz w:val="22"/>
          <w:szCs w:val="22"/>
        </w:rPr>
        <w:t xml:space="preserve"> a vedlo až k porušení územní celistvosti a integrity svrchovaného státu</w:t>
      </w:r>
      <w:r w:rsidR="00E92498">
        <w:rPr>
          <w:rFonts w:ascii="Arial" w:hAnsi="Arial" w:cs="Arial"/>
          <w:sz w:val="22"/>
          <w:szCs w:val="22"/>
        </w:rPr>
        <w:t xml:space="preserve"> a rozsáhlé invazi vojsk RF na území Ukrajiny</w:t>
      </w:r>
      <w:r w:rsidR="00B300B7">
        <w:rPr>
          <w:rFonts w:ascii="Arial" w:hAnsi="Arial" w:cs="Arial"/>
          <w:sz w:val="22"/>
          <w:szCs w:val="22"/>
        </w:rPr>
        <w:t xml:space="preserve">. V kontextu uvalených sankcí nabývá členství v obou těchto mezinárodních finančních institucích nového rozměru. Fungování obou institucí, včetně financování projektů </w:t>
      </w:r>
      <w:r w:rsidR="00E92498">
        <w:rPr>
          <w:rFonts w:ascii="Arial" w:hAnsi="Arial" w:cs="Arial"/>
          <w:sz w:val="22"/>
          <w:szCs w:val="22"/>
        </w:rPr>
        <w:t>v Ruské federaci, působí proti účinku sa</w:t>
      </w:r>
      <w:r w:rsidR="00F820F3">
        <w:rPr>
          <w:rFonts w:ascii="Arial" w:hAnsi="Arial" w:cs="Arial"/>
          <w:sz w:val="22"/>
          <w:szCs w:val="22"/>
        </w:rPr>
        <w:t>nkcí uvalených na ruský režim a </w:t>
      </w:r>
      <w:r w:rsidR="00E92498">
        <w:rPr>
          <w:rFonts w:ascii="Arial" w:hAnsi="Arial" w:cs="Arial"/>
          <w:sz w:val="22"/>
          <w:szCs w:val="22"/>
        </w:rPr>
        <w:t>finanční trhy</w:t>
      </w:r>
      <w:r w:rsidR="005647D0">
        <w:rPr>
          <w:rFonts w:ascii="Arial" w:hAnsi="Arial" w:cs="Arial"/>
          <w:sz w:val="22"/>
          <w:szCs w:val="22"/>
        </w:rPr>
        <w:t xml:space="preserve"> ze strany Evropské unie, Velké Británie i Spojených států amerických</w:t>
      </w:r>
      <w:r w:rsidR="00E92498">
        <w:rPr>
          <w:rFonts w:ascii="Arial" w:hAnsi="Arial" w:cs="Arial"/>
          <w:sz w:val="22"/>
          <w:szCs w:val="22"/>
        </w:rPr>
        <w:t xml:space="preserve">. </w:t>
      </w:r>
    </w:p>
    <w:p w:rsidR="00230205" w:rsidRDefault="00E92498" w:rsidP="0024275F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Vzhledem k výše uvedenému se navrhuje vypovědět Dohodu o zřízení a činnosti Mezinárodní banky hospodářské</w:t>
      </w:r>
      <w:r w:rsidR="00003ED0">
        <w:rPr>
          <w:rFonts w:ascii="Arial" w:hAnsi="Arial" w:cs="Arial"/>
          <w:sz w:val="22"/>
          <w:szCs w:val="22"/>
        </w:rPr>
        <w:t xml:space="preserve"> spolupráce (dále jen „Dohoda </w:t>
      </w:r>
      <w:r w:rsidR="001C6D4F">
        <w:rPr>
          <w:rFonts w:ascii="Arial" w:hAnsi="Arial" w:cs="Arial"/>
          <w:sz w:val="22"/>
          <w:szCs w:val="22"/>
        </w:rPr>
        <w:t xml:space="preserve">MBHS“), </w:t>
      </w:r>
      <w:r w:rsidR="005647D0">
        <w:rPr>
          <w:rFonts w:ascii="Arial" w:hAnsi="Arial" w:cs="Arial"/>
          <w:sz w:val="22"/>
          <w:szCs w:val="22"/>
        </w:rPr>
        <w:t>a to v co nejkratším možném termínu</w:t>
      </w:r>
      <w:r w:rsidR="00647930">
        <w:rPr>
          <w:rFonts w:ascii="Arial" w:hAnsi="Arial" w:cs="Arial"/>
          <w:sz w:val="22"/>
          <w:szCs w:val="22"/>
        </w:rPr>
        <w:t>, tj. se šestiměsíční výpovědní lhůtou</w:t>
      </w:r>
      <w:r w:rsidR="005647D0">
        <w:rPr>
          <w:rFonts w:ascii="Arial" w:hAnsi="Arial" w:cs="Arial"/>
          <w:sz w:val="22"/>
          <w:szCs w:val="22"/>
        </w:rPr>
        <w:t xml:space="preserve">. Navrhuje se také </w:t>
      </w:r>
      <w:r w:rsidR="00F820F3">
        <w:rPr>
          <w:rFonts w:ascii="Arial" w:hAnsi="Arial" w:cs="Arial"/>
          <w:sz w:val="22"/>
          <w:szCs w:val="22"/>
        </w:rPr>
        <w:t>koordinace kroků</w:t>
      </w:r>
      <w:r w:rsidR="001C6D4F">
        <w:rPr>
          <w:rFonts w:ascii="Arial" w:hAnsi="Arial" w:cs="Arial"/>
          <w:sz w:val="22"/>
          <w:szCs w:val="22"/>
        </w:rPr>
        <w:t xml:space="preserve"> </w:t>
      </w:r>
      <w:r w:rsidR="005647D0">
        <w:rPr>
          <w:rFonts w:ascii="Arial" w:hAnsi="Arial" w:cs="Arial"/>
          <w:sz w:val="22"/>
          <w:szCs w:val="22"/>
        </w:rPr>
        <w:t>s</w:t>
      </w:r>
      <w:r w:rsidR="00810743">
        <w:rPr>
          <w:rFonts w:ascii="Arial" w:hAnsi="Arial" w:cs="Arial"/>
          <w:sz w:val="22"/>
          <w:szCs w:val="22"/>
        </w:rPr>
        <w:t> </w:t>
      </w:r>
      <w:r w:rsidR="00003ED0">
        <w:rPr>
          <w:rFonts w:ascii="Arial" w:hAnsi="Arial" w:cs="Arial"/>
          <w:sz w:val="22"/>
          <w:szCs w:val="22"/>
        </w:rPr>
        <w:t xml:space="preserve">dalšími </w:t>
      </w:r>
      <w:r w:rsidR="005647D0">
        <w:rPr>
          <w:rFonts w:ascii="Arial" w:hAnsi="Arial" w:cs="Arial"/>
          <w:sz w:val="22"/>
          <w:szCs w:val="22"/>
        </w:rPr>
        <w:t xml:space="preserve">signatáři </w:t>
      </w:r>
      <w:r w:rsidR="0024275F">
        <w:rPr>
          <w:rFonts w:ascii="Arial" w:hAnsi="Arial" w:cs="Arial"/>
          <w:sz w:val="22"/>
          <w:szCs w:val="22"/>
        </w:rPr>
        <w:t xml:space="preserve">Dohody MBHS </w:t>
      </w:r>
      <w:r w:rsidR="00003ED0">
        <w:rPr>
          <w:rFonts w:ascii="Arial" w:hAnsi="Arial" w:cs="Arial"/>
          <w:sz w:val="22"/>
          <w:szCs w:val="22"/>
        </w:rPr>
        <w:t>z Evropské unie</w:t>
      </w:r>
      <w:r w:rsidR="00810743">
        <w:rPr>
          <w:rFonts w:ascii="Arial" w:hAnsi="Arial" w:cs="Arial"/>
          <w:sz w:val="22"/>
          <w:szCs w:val="22"/>
        </w:rPr>
        <w:t>.</w:t>
      </w:r>
    </w:p>
    <w:p w:rsidR="005647D0" w:rsidRDefault="005647D0" w:rsidP="00E9249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MBHS byla založena v roce 1963 pro potřeby obchodování mezi tehdejšími členskými státy Rady vzájemné hospodářské spolupráce (dále „RVHP“). Po rozpadu RVHP došlo v 90.</w:t>
      </w:r>
      <w:r w:rsidR="00F820F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letech k  transformaci činností, kdy začala </w:t>
      </w:r>
      <w:r w:rsidR="00AC4535">
        <w:rPr>
          <w:rFonts w:ascii="Arial" w:hAnsi="Arial" w:cs="Arial"/>
          <w:sz w:val="22"/>
          <w:szCs w:val="22"/>
        </w:rPr>
        <w:t xml:space="preserve">snaha </w:t>
      </w:r>
      <w:r>
        <w:rPr>
          <w:rFonts w:ascii="Arial" w:hAnsi="Arial" w:cs="Arial"/>
          <w:sz w:val="22"/>
          <w:szCs w:val="22"/>
        </w:rPr>
        <w:t>MBHS fungovat jako mezinárodní banka s regionálním významem, která poskytuje všechny běžné bankovní služby (včetně správy účtů) zaměřené na podnikatelskou klientelu s důrazem na podporu obchodu mezi členskými státy banky.</w:t>
      </w:r>
      <w:r w:rsidR="00306F5D">
        <w:rPr>
          <w:rFonts w:ascii="Arial" w:hAnsi="Arial" w:cs="Arial"/>
          <w:sz w:val="22"/>
          <w:szCs w:val="22"/>
        </w:rPr>
        <w:t xml:space="preserve"> Sídlem MBHS je Moskva.</w:t>
      </w:r>
    </w:p>
    <w:p w:rsidR="005647D0" w:rsidRDefault="005647D0" w:rsidP="005647D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Současnými </w:t>
      </w:r>
      <w:r w:rsidR="002D5F23">
        <w:rPr>
          <w:rFonts w:ascii="Arial" w:hAnsi="Arial" w:cs="Arial"/>
          <w:sz w:val="22"/>
          <w:szCs w:val="22"/>
        </w:rPr>
        <w:t xml:space="preserve">členy </w:t>
      </w:r>
      <w:r>
        <w:rPr>
          <w:rFonts w:ascii="Arial" w:hAnsi="Arial" w:cs="Arial"/>
          <w:sz w:val="22"/>
          <w:szCs w:val="22"/>
        </w:rPr>
        <w:t>je osm států – RF, Č</w:t>
      </w:r>
      <w:r w:rsidR="00AC4535">
        <w:rPr>
          <w:rFonts w:ascii="Arial" w:hAnsi="Arial" w:cs="Arial"/>
          <w:sz w:val="22"/>
          <w:szCs w:val="22"/>
        </w:rPr>
        <w:t>eská republika (Č</w:t>
      </w:r>
      <w:r>
        <w:rPr>
          <w:rFonts w:ascii="Arial" w:hAnsi="Arial" w:cs="Arial"/>
          <w:sz w:val="22"/>
          <w:szCs w:val="22"/>
        </w:rPr>
        <w:t>R</w:t>
      </w:r>
      <w:r w:rsidR="00AC4535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, Polsko, Bulharsko, Rumunsko, Slovensko, Mongolsko a Vietnam. Základní kapitál MBHS čin</w:t>
      </w:r>
      <w:r w:rsidR="00F820F3">
        <w:rPr>
          <w:rFonts w:ascii="Arial" w:hAnsi="Arial" w:cs="Arial"/>
          <w:sz w:val="22"/>
          <w:szCs w:val="22"/>
        </w:rPr>
        <w:t>í 400 mil. EUR, splaceno je 200 </w:t>
      </w:r>
      <w:r>
        <w:rPr>
          <w:rFonts w:ascii="Arial" w:hAnsi="Arial" w:cs="Arial"/>
          <w:sz w:val="22"/>
          <w:szCs w:val="22"/>
        </w:rPr>
        <w:t>mil. EUR. Podíl ČR na splaceném kapitálu je 13,34 %.</w:t>
      </w:r>
    </w:p>
    <w:p w:rsidR="005647D0" w:rsidRDefault="005647D0" w:rsidP="005647D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003ED0" w:rsidRPr="00346278" w:rsidRDefault="00C84D3F" w:rsidP="00C84D3F">
      <w:pPr>
        <w:spacing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46278">
        <w:rPr>
          <w:rFonts w:ascii="Arial" w:eastAsia="Calibri" w:hAnsi="Arial" w:cs="Arial"/>
          <w:sz w:val="20"/>
          <w:szCs w:val="20"/>
          <w:lang w:eastAsia="en-US"/>
        </w:rPr>
        <w:t xml:space="preserve">Tabulka č. </w:t>
      </w:r>
      <w:r w:rsidR="00C65D92" w:rsidRPr="00346278">
        <w:rPr>
          <w:rFonts w:ascii="Arial" w:eastAsia="Calibri" w:hAnsi="Arial" w:cs="Arial"/>
          <w:sz w:val="20"/>
          <w:szCs w:val="20"/>
          <w:lang w:eastAsia="en-US"/>
        </w:rPr>
        <w:t>1</w:t>
      </w:r>
      <w:r w:rsidRPr="00346278">
        <w:rPr>
          <w:rFonts w:ascii="Arial" w:eastAsia="Calibri" w:hAnsi="Arial" w:cs="Arial"/>
          <w:sz w:val="20"/>
          <w:szCs w:val="20"/>
          <w:lang w:eastAsia="en-US"/>
        </w:rPr>
        <w:t xml:space="preserve"> Kapitalizace MBHS </w:t>
      </w:r>
      <w:r w:rsidR="00C65D92" w:rsidRPr="00346278">
        <w:rPr>
          <w:rFonts w:ascii="Arial" w:eastAsia="Calibri" w:hAnsi="Arial" w:cs="Arial"/>
          <w:sz w:val="20"/>
          <w:szCs w:val="20"/>
          <w:lang w:eastAsia="en-US"/>
        </w:rPr>
        <w:t>k 31.</w:t>
      </w:r>
      <w:r w:rsidR="00003ED0" w:rsidRPr="0034627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65D92" w:rsidRPr="00346278">
        <w:rPr>
          <w:rFonts w:ascii="Arial" w:eastAsia="Calibri" w:hAnsi="Arial" w:cs="Arial"/>
          <w:sz w:val="20"/>
          <w:szCs w:val="20"/>
          <w:lang w:eastAsia="en-US"/>
        </w:rPr>
        <w:t>12.</w:t>
      </w:r>
      <w:r w:rsidR="00003ED0" w:rsidRPr="0034627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C65D92" w:rsidRPr="00346278">
        <w:rPr>
          <w:rFonts w:ascii="Arial" w:eastAsia="Calibri" w:hAnsi="Arial" w:cs="Arial"/>
          <w:sz w:val="20"/>
          <w:szCs w:val="20"/>
          <w:lang w:eastAsia="en-US"/>
        </w:rPr>
        <w:t>2021</w:t>
      </w:r>
    </w:p>
    <w:tbl>
      <w:tblPr>
        <w:tblW w:w="640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600"/>
        <w:gridCol w:w="908"/>
        <w:gridCol w:w="1339"/>
        <w:gridCol w:w="940"/>
      </w:tblGrid>
      <w:tr w:rsidR="00C84D3F" w:rsidRPr="00003ED0" w:rsidTr="00003ED0">
        <w:trPr>
          <w:trHeight w:val="52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Stát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Základní kapitál, mil. EUR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% </w:t>
            </w:r>
          </w:p>
        </w:tc>
        <w:tc>
          <w:tcPr>
            <w:tcW w:w="1339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Splacený kapitál, mil. EUR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Ruská federace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206,4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51,59%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 xml:space="preserve">103,2 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51,59%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Česká republika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53,4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13,34%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26,7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13,34%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Polsko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48,0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12,01%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24,0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12,01%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Bulharsko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30,2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7,56%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15,1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7,56%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Rumunsko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28,5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7,12%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14,2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7,12%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Slovensko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26,7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6,67%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13,3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6,67%</w:t>
            </w:r>
          </w:p>
        </w:tc>
      </w:tr>
      <w:tr w:rsidR="00C84D3F" w:rsidRPr="00003ED0" w:rsidTr="00003ED0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Mongolsko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5,3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1,33%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2,7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1,34%</w:t>
            </w:r>
          </w:p>
        </w:tc>
      </w:tr>
      <w:tr w:rsidR="00C84D3F" w:rsidRPr="00003ED0" w:rsidTr="00003ED0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Vietnam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1,5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0,38%</w:t>
            </w:r>
          </w:p>
        </w:tc>
        <w:tc>
          <w:tcPr>
            <w:tcW w:w="133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03ED0">
              <w:rPr>
                <w:rFonts w:ascii="Calibri" w:hAnsi="Calibri" w:cs="Calibri"/>
                <w:sz w:val="22"/>
                <w:szCs w:val="22"/>
              </w:rPr>
              <w:t>0,8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iCs/>
                <w:sz w:val="22"/>
                <w:szCs w:val="22"/>
              </w:rPr>
              <w:t>0,38%</w:t>
            </w:r>
          </w:p>
        </w:tc>
      </w:tr>
      <w:tr w:rsidR="00C84D3F" w:rsidRPr="0047680B" w:rsidTr="00003ED0">
        <w:trPr>
          <w:trHeight w:val="30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339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D3F" w:rsidRPr="00003ED0" w:rsidRDefault="00C84D3F" w:rsidP="003A259B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4D3F" w:rsidRPr="00C65D92" w:rsidRDefault="00C84D3F" w:rsidP="003A25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3ED0">
              <w:rPr>
                <w:rFonts w:ascii="Calibri" w:hAnsi="Calibri" w:cs="Calibri"/>
                <w:b/>
                <w:bCs/>
                <w:sz w:val="22"/>
                <w:szCs w:val="22"/>
              </w:rPr>
              <w:t>100%</w:t>
            </w:r>
          </w:p>
        </w:tc>
      </w:tr>
    </w:tbl>
    <w:p w:rsidR="005647D0" w:rsidRDefault="005647D0" w:rsidP="005647D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C65D92" w:rsidRDefault="005647D0" w:rsidP="00346278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MBHS má pro </w:t>
      </w:r>
      <w:r w:rsidR="00C84D3F">
        <w:rPr>
          <w:rFonts w:ascii="Arial" w:hAnsi="Arial" w:cs="Arial"/>
          <w:sz w:val="22"/>
          <w:szCs w:val="22"/>
        </w:rPr>
        <w:t xml:space="preserve">ČR prakticky nulový </w:t>
      </w:r>
      <w:r w:rsidR="00810743">
        <w:rPr>
          <w:rFonts w:ascii="Arial" w:hAnsi="Arial" w:cs="Arial"/>
          <w:sz w:val="22"/>
          <w:szCs w:val="22"/>
        </w:rPr>
        <w:t xml:space="preserve">ekonomický </w:t>
      </w:r>
      <w:r w:rsidR="00C84D3F">
        <w:rPr>
          <w:rFonts w:ascii="Arial" w:hAnsi="Arial" w:cs="Arial"/>
          <w:sz w:val="22"/>
          <w:szCs w:val="22"/>
        </w:rPr>
        <w:t>přínos</w:t>
      </w:r>
      <w:r w:rsidR="00810743">
        <w:rPr>
          <w:rFonts w:ascii="Arial" w:hAnsi="Arial" w:cs="Arial"/>
          <w:sz w:val="22"/>
          <w:szCs w:val="22"/>
        </w:rPr>
        <w:t xml:space="preserve">. </w:t>
      </w:r>
      <w:r w:rsidR="00C65D92" w:rsidRPr="00C65D92">
        <w:rPr>
          <w:rFonts w:ascii="Arial" w:hAnsi="Arial" w:cs="Arial"/>
          <w:sz w:val="22"/>
          <w:szCs w:val="22"/>
        </w:rPr>
        <w:t>Z důvodu dlouhodobé absence růstu aktivit banky a nízké přidané hodnoty pro ČR bylo v roce 2017 rozhodnuto o ukončení členství v MBHS bilaterální cestou. Vláda v této souvislosti schválila dne 23. října 2017 usnesením č. 765 Směrnici pro jednání o ukončení členství České republiky v MBHS (v režimu vyhrazené).</w:t>
      </w:r>
      <w:r w:rsidR="004C2325">
        <w:rPr>
          <w:rFonts w:ascii="Arial" w:hAnsi="Arial" w:cs="Arial"/>
          <w:sz w:val="22"/>
          <w:szCs w:val="22"/>
        </w:rPr>
        <w:t xml:space="preserve"> Konkrétní krok</w:t>
      </w:r>
      <w:r w:rsidR="004C2325" w:rsidRPr="004C2325">
        <w:rPr>
          <w:rFonts w:ascii="Arial" w:hAnsi="Arial" w:cs="Arial"/>
          <w:sz w:val="22"/>
          <w:szCs w:val="22"/>
        </w:rPr>
        <w:t>y směrem k MBHS vedoucí k ukončení členství převážně z důvodu obav z finančních ztrát učiněny</w:t>
      </w:r>
      <w:r w:rsidR="004C2325">
        <w:rPr>
          <w:rFonts w:ascii="Arial" w:hAnsi="Arial" w:cs="Arial"/>
          <w:sz w:val="22"/>
          <w:szCs w:val="22"/>
        </w:rPr>
        <w:t xml:space="preserve"> nebyly.</w:t>
      </w:r>
    </w:p>
    <w:p w:rsidR="00C65D92" w:rsidRDefault="00C65D92" w:rsidP="005647D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Dopad vypovězení Dohody MBHS na české podniky a hospodářství bude minimální. </w:t>
      </w:r>
      <w:r w:rsidRPr="00C65D92">
        <w:rPr>
          <w:rFonts w:ascii="Arial" w:hAnsi="Arial" w:cs="Arial"/>
          <w:sz w:val="22"/>
          <w:szCs w:val="22"/>
        </w:rPr>
        <w:t>Přím</w:t>
      </w:r>
      <w:r>
        <w:rPr>
          <w:rFonts w:ascii="Arial" w:hAnsi="Arial" w:cs="Arial"/>
          <w:sz w:val="22"/>
          <w:szCs w:val="22"/>
        </w:rPr>
        <w:t>á podpora MBHS českým podnikům s</w:t>
      </w:r>
      <w:r w:rsidRPr="00C65D9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v současnosti</w:t>
      </w:r>
      <w:r w:rsidRPr="00C65D92">
        <w:rPr>
          <w:rFonts w:ascii="Arial" w:hAnsi="Arial" w:cs="Arial"/>
          <w:sz w:val="22"/>
          <w:szCs w:val="22"/>
        </w:rPr>
        <w:t xml:space="preserve"> omez</w:t>
      </w:r>
      <w:r>
        <w:rPr>
          <w:rFonts w:ascii="Arial" w:hAnsi="Arial" w:cs="Arial"/>
          <w:sz w:val="22"/>
          <w:szCs w:val="22"/>
        </w:rPr>
        <w:t>uje pouze na </w:t>
      </w:r>
      <w:r w:rsidRPr="00C65D92">
        <w:rPr>
          <w:rFonts w:ascii="Arial" w:hAnsi="Arial" w:cs="Arial"/>
          <w:sz w:val="22"/>
          <w:szCs w:val="22"/>
        </w:rPr>
        <w:t xml:space="preserve">operace </w:t>
      </w:r>
      <w:proofErr w:type="spellStart"/>
      <w:r w:rsidRPr="00C65D92">
        <w:rPr>
          <w:rFonts w:ascii="Arial" w:hAnsi="Arial" w:cs="Arial"/>
          <w:sz w:val="22"/>
          <w:szCs w:val="22"/>
        </w:rPr>
        <w:t>trade</w:t>
      </w:r>
      <w:proofErr w:type="spellEnd"/>
      <w:r w:rsidRPr="00C65D92">
        <w:rPr>
          <w:rFonts w:ascii="Arial" w:hAnsi="Arial" w:cs="Arial"/>
          <w:sz w:val="22"/>
          <w:szCs w:val="22"/>
        </w:rPr>
        <w:t xml:space="preserve"> finance (dokumentární platby, menší objemy</w:t>
      </w:r>
      <w:r>
        <w:rPr>
          <w:rFonts w:ascii="Arial" w:hAnsi="Arial" w:cs="Arial"/>
          <w:sz w:val="22"/>
          <w:szCs w:val="22"/>
        </w:rPr>
        <w:t>, krátká doba trvání</w:t>
      </w:r>
      <w:r w:rsidRPr="00C65D92">
        <w:rPr>
          <w:rFonts w:ascii="Arial" w:hAnsi="Arial" w:cs="Arial"/>
          <w:sz w:val="22"/>
          <w:szCs w:val="22"/>
        </w:rPr>
        <w:t xml:space="preserve">), jelikož v případě přímých </w:t>
      </w:r>
      <w:r w:rsidRPr="00C65D92">
        <w:rPr>
          <w:rFonts w:ascii="Arial" w:hAnsi="Arial" w:cs="Arial"/>
          <w:sz w:val="22"/>
          <w:szCs w:val="22"/>
        </w:rPr>
        <w:lastRenderedPageBreak/>
        <w:t>úvěrů subjektům v ČR je MF ČR osloveno v rámci tzv. proce</w:t>
      </w:r>
      <w:r w:rsidR="00003ED0">
        <w:rPr>
          <w:rFonts w:ascii="Arial" w:hAnsi="Arial" w:cs="Arial"/>
          <w:sz w:val="22"/>
          <w:szCs w:val="22"/>
        </w:rPr>
        <w:t xml:space="preserve">dury </w:t>
      </w:r>
      <w:r w:rsidR="007E4917">
        <w:rPr>
          <w:rFonts w:ascii="Arial" w:hAnsi="Arial" w:cs="Arial"/>
          <w:sz w:val="22"/>
          <w:szCs w:val="22"/>
        </w:rPr>
        <w:t>„</w:t>
      </w:r>
      <w:r w:rsidR="00003ED0">
        <w:rPr>
          <w:rFonts w:ascii="Arial" w:hAnsi="Arial" w:cs="Arial"/>
          <w:sz w:val="22"/>
          <w:szCs w:val="22"/>
        </w:rPr>
        <w:t xml:space="preserve">no </w:t>
      </w:r>
      <w:proofErr w:type="spellStart"/>
      <w:r w:rsidR="001D4FDB">
        <w:rPr>
          <w:rFonts w:ascii="Arial" w:hAnsi="Arial" w:cs="Arial"/>
          <w:sz w:val="22"/>
          <w:szCs w:val="22"/>
        </w:rPr>
        <w:t>objection</w:t>
      </w:r>
      <w:proofErr w:type="spellEnd"/>
      <w:r w:rsidR="007E4917">
        <w:rPr>
          <w:rFonts w:ascii="Arial" w:hAnsi="Arial" w:cs="Arial"/>
          <w:sz w:val="22"/>
          <w:szCs w:val="22"/>
        </w:rPr>
        <w:t>“</w:t>
      </w:r>
      <w:r w:rsidR="001D4FDB">
        <w:rPr>
          <w:rFonts w:ascii="Arial" w:hAnsi="Arial" w:cs="Arial"/>
          <w:sz w:val="22"/>
          <w:szCs w:val="22"/>
        </w:rPr>
        <w:t xml:space="preserve"> a v souladu s </w:t>
      </w:r>
      <w:r w:rsidR="00003ED0">
        <w:rPr>
          <w:rFonts w:ascii="Arial" w:hAnsi="Arial" w:cs="Arial"/>
          <w:sz w:val="22"/>
          <w:szCs w:val="22"/>
        </w:rPr>
        <w:t xml:space="preserve">platným mandátem MF ČR </w:t>
      </w:r>
      <w:r w:rsidR="007E4917">
        <w:rPr>
          <w:rFonts w:ascii="Arial" w:hAnsi="Arial" w:cs="Arial"/>
          <w:sz w:val="22"/>
          <w:szCs w:val="22"/>
        </w:rPr>
        <w:t>„</w:t>
      </w:r>
      <w:r w:rsidR="00003ED0">
        <w:rPr>
          <w:rFonts w:ascii="Arial" w:hAnsi="Arial" w:cs="Arial"/>
          <w:sz w:val="22"/>
          <w:szCs w:val="22"/>
        </w:rPr>
        <w:t xml:space="preserve">no </w:t>
      </w:r>
      <w:proofErr w:type="spellStart"/>
      <w:r w:rsidRPr="00C65D92">
        <w:rPr>
          <w:rFonts w:ascii="Arial" w:hAnsi="Arial" w:cs="Arial"/>
          <w:sz w:val="22"/>
          <w:szCs w:val="22"/>
        </w:rPr>
        <w:t>objection</w:t>
      </w:r>
      <w:proofErr w:type="spellEnd"/>
      <w:r w:rsidR="007E4917">
        <w:rPr>
          <w:rFonts w:ascii="Arial" w:hAnsi="Arial" w:cs="Arial"/>
          <w:sz w:val="22"/>
          <w:szCs w:val="22"/>
        </w:rPr>
        <w:t>“</w:t>
      </w:r>
      <w:r w:rsidRPr="00C65D92">
        <w:rPr>
          <w:rFonts w:ascii="Arial" w:hAnsi="Arial" w:cs="Arial"/>
          <w:sz w:val="22"/>
          <w:szCs w:val="22"/>
        </w:rPr>
        <w:t xml:space="preserve"> v posledních letech neuděluje.</w:t>
      </w:r>
      <w:r>
        <w:rPr>
          <w:rFonts w:ascii="Arial" w:hAnsi="Arial" w:cs="Arial"/>
          <w:sz w:val="22"/>
          <w:szCs w:val="22"/>
        </w:rPr>
        <w:t xml:space="preserve"> </w:t>
      </w:r>
    </w:p>
    <w:p w:rsidR="00C65D92" w:rsidRDefault="00C65D92" w:rsidP="00C65D92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Navrhuje se, že ČR vypoví Dohodu MBHS s šestiměsíční výpovědní lhůtou</w:t>
      </w:r>
      <w:r w:rsidR="00081739">
        <w:rPr>
          <w:rFonts w:ascii="Arial" w:hAnsi="Arial" w:cs="Arial"/>
          <w:sz w:val="22"/>
          <w:szCs w:val="22"/>
        </w:rPr>
        <w:t xml:space="preserve"> (nejkratší výpovědní lhůta, kterou Dohoda MBHS připouští)</w:t>
      </w:r>
      <w:r>
        <w:rPr>
          <w:rFonts w:ascii="Arial" w:hAnsi="Arial" w:cs="Arial"/>
          <w:sz w:val="22"/>
          <w:szCs w:val="22"/>
        </w:rPr>
        <w:t xml:space="preserve">, v rámci níž bude </w:t>
      </w:r>
      <w:r w:rsidR="00F820F3">
        <w:rPr>
          <w:rFonts w:ascii="Arial" w:hAnsi="Arial" w:cs="Arial"/>
          <w:sz w:val="22"/>
          <w:szCs w:val="22"/>
        </w:rPr>
        <w:t xml:space="preserve">ČR </w:t>
      </w:r>
      <w:r>
        <w:rPr>
          <w:rFonts w:ascii="Arial" w:hAnsi="Arial" w:cs="Arial"/>
          <w:sz w:val="22"/>
          <w:szCs w:val="22"/>
        </w:rPr>
        <w:t>s</w:t>
      </w:r>
      <w:r w:rsidR="00F820F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MBHS</w:t>
      </w:r>
      <w:r w:rsidR="00F820F3">
        <w:rPr>
          <w:rFonts w:ascii="Arial" w:hAnsi="Arial" w:cs="Arial"/>
          <w:sz w:val="22"/>
          <w:szCs w:val="22"/>
        </w:rPr>
        <w:t xml:space="preserve"> </w:t>
      </w:r>
      <w:r w:rsidR="004A54DB">
        <w:rPr>
          <w:rFonts w:ascii="Arial" w:hAnsi="Arial" w:cs="Arial"/>
          <w:sz w:val="22"/>
          <w:szCs w:val="22"/>
        </w:rPr>
        <w:t>jednat o </w:t>
      </w:r>
      <w:r>
        <w:rPr>
          <w:rFonts w:ascii="Arial" w:hAnsi="Arial" w:cs="Arial"/>
          <w:sz w:val="22"/>
          <w:szCs w:val="22"/>
        </w:rPr>
        <w:t>vyrovnání finančních závazků</w:t>
      </w:r>
      <w:r w:rsidR="0028329A">
        <w:rPr>
          <w:rFonts w:ascii="Arial" w:hAnsi="Arial" w:cs="Arial"/>
          <w:sz w:val="22"/>
          <w:szCs w:val="22"/>
        </w:rPr>
        <w:t xml:space="preserve"> ve výši </w:t>
      </w:r>
      <w:r w:rsidRPr="00F820F3">
        <w:rPr>
          <w:rFonts w:ascii="Arial" w:hAnsi="Arial" w:cs="Arial"/>
          <w:sz w:val="22"/>
          <w:szCs w:val="22"/>
        </w:rPr>
        <w:t>splaceného kapitálu, nerozděleného zisku, zisku aktuálního období (2021)</w:t>
      </w:r>
      <w:r w:rsidR="0028329A">
        <w:rPr>
          <w:rFonts w:ascii="Arial" w:hAnsi="Arial" w:cs="Arial"/>
          <w:sz w:val="22"/>
          <w:szCs w:val="22"/>
        </w:rPr>
        <w:t xml:space="preserve">, </w:t>
      </w:r>
      <w:r w:rsidR="001D4FDB">
        <w:rPr>
          <w:rFonts w:ascii="Arial" w:hAnsi="Arial" w:cs="Arial"/>
          <w:sz w:val="22"/>
          <w:szCs w:val="22"/>
        </w:rPr>
        <w:t>případně také ve výši podílu na </w:t>
      </w:r>
      <w:r w:rsidR="0028329A">
        <w:rPr>
          <w:rFonts w:ascii="Arial" w:hAnsi="Arial" w:cs="Arial"/>
          <w:sz w:val="22"/>
          <w:szCs w:val="22"/>
        </w:rPr>
        <w:t>rezerv</w:t>
      </w:r>
      <w:r w:rsidR="001D4FDB">
        <w:rPr>
          <w:rFonts w:ascii="Arial" w:hAnsi="Arial" w:cs="Arial"/>
          <w:sz w:val="22"/>
          <w:szCs w:val="22"/>
        </w:rPr>
        <w:t>ách a</w:t>
      </w:r>
      <w:r w:rsidR="00392D47" w:rsidRPr="00F820F3">
        <w:rPr>
          <w:rFonts w:ascii="Arial" w:hAnsi="Arial" w:cs="Arial"/>
          <w:sz w:val="22"/>
          <w:szCs w:val="22"/>
        </w:rPr>
        <w:t xml:space="preserve"> budov</w:t>
      </w:r>
      <w:r w:rsidR="0028329A">
        <w:rPr>
          <w:rFonts w:ascii="Arial" w:hAnsi="Arial" w:cs="Arial"/>
          <w:sz w:val="22"/>
          <w:szCs w:val="22"/>
        </w:rPr>
        <w:t>ě</w:t>
      </w:r>
      <w:r w:rsidR="00392D47" w:rsidRPr="00F820F3">
        <w:rPr>
          <w:rFonts w:ascii="Arial" w:hAnsi="Arial" w:cs="Arial"/>
          <w:sz w:val="22"/>
          <w:szCs w:val="22"/>
        </w:rPr>
        <w:t>.</w:t>
      </w:r>
    </w:p>
    <w:p w:rsidR="00392D47" w:rsidRDefault="00392D47" w:rsidP="00FB1CB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souvislosti s finančním narovnáním je třeba poznamenat, že toto bude předmětem následného jednání s MBHS a není vyloučena možnost, že přínos do státního rozpočtu bude výrazně nižší, než navrhovaná výchozí pozice ČR</w:t>
      </w:r>
      <w:r w:rsidR="00F820F3">
        <w:rPr>
          <w:rFonts w:ascii="Arial" w:hAnsi="Arial" w:cs="Arial"/>
          <w:sz w:val="22"/>
          <w:szCs w:val="22"/>
        </w:rPr>
        <w:t>,</w:t>
      </w:r>
      <w:r w:rsidR="00F820F3" w:rsidRPr="00F820F3">
        <w:rPr>
          <w:rFonts w:ascii="Arial" w:hAnsi="Arial" w:cs="Arial"/>
          <w:sz w:val="22"/>
          <w:szCs w:val="22"/>
        </w:rPr>
        <w:t xml:space="preserve"> </w:t>
      </w:r>
      <w:r w:rsidR="007E33DA">
        <w:rPr>
          <w:rFonts w:ascii="Arial" w:hAnsi="Arial" w:cs="Arial"/>
          <w:sz w:val="22"/>
          <w:szCs w:val="22"/>
        </w:rPr>
        <w:t>či</w:t>
      </w:r>
      <w:r w:rsidR="00F820F3">
        <w:rPr>
          <w:rFonts w:ascii="Arial" w:hAnsi="Arial" w:cs="Arial"/>
          <w:sz w:val="22"/>
          <w:szCs w:val="22"/>
        </w:rPr>
        <w:t xml:space="preserve"> nulový</w:t>
      </w:r>
      <w:r>
        <w:rPr>
          <w:rFonts w:ascii="Arial" w:hAnsi="Arial" w:cs="Arial"/>
          <w:sz w:val="22"/>
          <w:szCs w:val="22"/>
        </w:rPr>
        <w:t xml:space="preserve">. </w:t>
      </w:r>
      <w:r w:rsidR="00F820F3" w:rsidRPr="00F820F3">
        <w:rPr>
          <w:rFonts w:ascii="Arial" w:hAnsi="Arial" w:cs="Arial"/>
          <w:sz w:val="22"/>
          <w:szCs w:val="22"/>
        </w:rPr>
        <w:t xml:space="preserve">Zahraničně-politicko-bezpečnostní aspekty odchodu ČR z bank jsou </w:t>
      </w:r>
      <w:r w:rsidR="00F820F3">
        <w:rPr>
          <w:rFonts w:ascii="Arial" w:hAnsi="Arial" w:cs="Arial"/>
          <w:sz w:val="22"/>
          <w:szCs w:val="22"/>
        </w:rPr>
        <w:t>nicméně natolik</w:t>
      </w:r>
      <w:r w:rsidR="00F820F3" w:rsidRPr="00F820F3">
        <w:rPr>
          <w:rFonts w:ascii="Arial" w:hAnsi="Arial" w:cs="Arial"/>
          <w:sz w:val="22"/>
          <w:szCs w:val="22"/>
        </w:rPr>
        <w:t xml:space="preserve"> významné, že </w:t>
      </w:r>
      <w:r w:rsidR="00F820F3">
        <w:rPr>
          <w:rFonts w:ascii="Arial" w:hAnsi="Arial" w:cs="Arial"/>
          <w:sz w:val="22"/>
          <w:szCs w:val="22"/>
        </w:rPr>
        <w:t>zásadním způsobem</w:t>
      </w:r>
      <w:r w:rsidR="00F820F3" w:rsidRPr="00F820F3">
        <w:rPr>
          <w:rFonts w:ascii="Arial" w:hAnsi="Arial" w:cs="Arial"/>
          <w:sz w:val="22"/>
          <w:szCs w:val="22"/>
        </w:rPr>
        <w:t xml:space="preserve"> převyšuj</w:t>
      </w:r>
      <w:r w:rsidR="00F820F3">
        <w:rPr>
          <w:rFonts w:ascii="Arial" w:hAnsi="Arial" w:cs="Arial"/>
          <w:sz w:val="22"/>
          <w:szCs w:val="22"/>
        </w:rPr>
        <w:t>í ekonomické ztráty, které ČR z </w:t>
      </w:r>
      <w:r w:rsidR="00F820F3" w:rsidRPr="00F820F3">
        <w:rPr>
          <w:rFonts w:ascii="Arial" w:hAnsi="Arial" w:cs="Arial"/>
          <w:sz w:val="22"/>
          <w:szCs w:val="22"/>
        </w:rPr>
        <w:t xml:space="preserve">jednostranného odchodu (tedy bez návratu prostředků, které ČR investovala do kapitálu) </w:t>
      </w:r>
      <w:r w:rsidR="00FB1CB9">
        <w:rPr>
          <w:rFonts w:ascii="Arial" w:hAnsi="Arial" w:cs="Arial"/>
          <w:sz w:val="22"/>
          <w:szCs w:val="22"/>
        </w:rPr>
        <w:t>hrozí</w:t>
      </w:r>
      <w:r w:rsidR="00F820F3">
        <w:rPr>
          <w:rFonts w:ascii="Arial" w:hAnsi="Arial" w:cs="Arial"/>
          <w:sz w:val="22"/>
          <w:szCs w:val="22"/>
        </w:rPr>
        <w:t>.</w:t>
      </w:r>
    </w:p>
    <w:p w:rsidR="00392D47" w:rsidRDefault="004C2325" w:rsidP="00C65D92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rámci bilance státu je evidován splacený kapitál </w:t>
      </w:r>
      <w:r w:rsidR="00306F5D">
        <w:rPr>
          <w:rFonts w:ascii="Arial" w:hAnsi="Arial" w:cs="Arial"/>
          <w:sz w:val="22"/>
          <w:szCs w:val="22"/>
        </w:rPr>
        <w:t>v MBHS ve výši 26,7 mil. EUR</w:t>
      </w:r>
      <w:r>
        <w:rPr>
          <w:rFonts w:ascii="Arial" w:hAnsi="Arial" w:cs="Arial"/>
          <w:sz w:val="22"/>
          <w:szCs w:val="22"/>
        </w:rPr>
        <w:t>, který je ve</w:t>
      </w:r>
      <w:r w:rsidR="00306F5D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en jako majetková účast</w:t>
      </w:r>
      <w:r w:rsidR="00306F5D">
        <w:rPr>
          <w:rFonts w:ascii="Arial" w:hAnsi="Arial" w:cs="Arial"/>
          <w:sz w:val="22"/>
          <w:szCs w:val="22"/>
        </w:rPr>
        <w:t xml:space="preserve"> státu</w:t>
      </w:r>
      <w:r>
        <w:rPr>
          <w:rFonts w:ascii="Arial" w:hAnsi="Arial" w:cs="Arial"/>
          <w:sz w:val="22"/>
          <w:szCs w:val="22"/>
        </w:rPr>
        <w:t>. V případě nulové</w:t>
      </w:r>
      <w:r w:rsidR="00306F5D">
        <w:rPr>
          <w:rFonts w:ascii="Arial" w:hAnsi="Arial" w:cs="Arial"/>
          <w:sz w:val="22"/>
          <w:szCs w:val="22"/>
        </w:rPr>
        <w:t>ho</w:t>
      </w:r>
      <w:r>
        <w:rPr>
          <w:rFonts w:ascii="Arial" w:hAnsi="Arial" w:cs="Arial"/>
          <w:sz w:val="22"/>
          <w:szCs w:val="22"/>
        </w:rPr>
        <w:t xml:space="preserve"> vypořádání by </w:t>
      </w:r>
      <w:r w:rsidR="00081739">
        <w:rPr>
          <w:rFonts w:ascii="Arial" w:hAnsi="Arial" w:cs="Arial"/>
          <w:sz w:val="22"/>
          <w:szCs w:val="22"/>
        </w:rPr>
        <w:t xml:space="preserve">byla nadále evidována pohledávka ČR vůči MBHS ve výši odpovídající přinejmenším </w:t>
      </w:r>
      <w:r w:rsidR="004A54DB">
        <w:rPr>
          <w:rFonts w:ascii="Arial" w:hAnsi="Arial" w:cs="Arial"/>
          <w:sz w:val="22"/>
          <w:szCs w:val="22"/>
        </w:rPr>
        <w:t>této majetkové účasti</w:t>
      </w:r>
      <w:r w:rsidR="00081739">
        <w:rPr>
          <w:rFonts w:ascii="Arial" w:hAnsi="Arial" w:cs="Arial"/>
          <w:sz w:val="22"/>
          <w:szCs w:val="22"/>
        </w:rPr>
        <w:t xml:space="preserve"> a byla by předmětem případných dalších jednání (podobně jako jsou evidovány dlouhodobě nesplácené pohledávky ČR vůči některým státům)</w:t>
      </w:r>
      <w:r>
        <w:rPr>
          <w:rFonts w:ascii="Arial" w:hAnsi="Arial" w:cs="Arial"/>
          <w:sz w:val="22"/>
          <w:szCs w:val="22"/>
        </w:rPr>
        <w:t>.</w:t>
      </w:r>
    </w:p>
    <w:p w:rsidR="00392D47" w:rsidRDefault="00392D47" w:rsidP="00392D47">
      <w:pPr>
        <w:jc w:val="both"/>
        <w:rPr>
          <w:rFonts w:ascii="Arial" w:hAnsi="Arial" w:cs="Arial"/>
          <w:sz w:val="22"/>
          <w:szCs w:val="22"/>
        </w:rPr>
      </w:pPr>
    </w:p>
    <w:p w:rsidR="00392D47" w:rsidRPr="00346278" w:rsidRDefault="00392D47" w:rsidP="00392D47">
      <w:pPr>
        <w:jc w:val="both"/>
        <w:rPr>
          <w:rFonts w:ascii="Arial" w:hAnsi="Arial" w:cs="Arial"/>
          <w:sz w:val="20"/>
          <w:szCs w:val="20"/>
        </w:rPr>
      </w:pPr>
      <w:r w:rsidRPr="00346278">
        <w:rPr>
          <w:rFonts w:ascii="Arial" w:hAnsi="Arial" w:cs="Arial"/>
          <w:sz w:val="20"/>
          <w:szCs w:val="20"/>
        </w:rPr>
        <w:t xml:space="preserve">Tabulka č. 2: </w:t>
      </w:r>
      <w:r w:rsidR="00FB1CB9" w:rsidRPr="00346278">
        <w:rPr>
          <w:rFonts w:ascii="Arial" w:hAnsi="Arial" w:cs="Arial"/>
          <w:sz w:val="20"/>
          <w:szCs w:val="20"/>
        </w:rPr>
        <w:t>Orientační n</w:t>
      </w:r>
      <w:r w:rsidRPr="00346278">
        <w:rPr>
          <w:rFonts w:ascii="Arial" w:hAnsi="Arial" w:cs="Arial"/>
          <w:sz w:val="20"/>
          <w:szCs w:val="20"/>
        </w:rPr>
        <w:t xml:space="preserve">árok </w:t>
      </w:r>
      <w:r w:rsidR="0028329A" w:rsidRPr="00346278">
        <w:rPr>
          <w:rFonts w:ascii="Arial" w:hAnsi="Arial" w:cs="Arial"/>
          <w:sz w:val="20"/>
          <w:szCs w:val="20"/>
        </w:rPr>
        <w:t>ČR</w:t>
      </w:r>
      <w:r w:rsidR="00647930" w:rsidRPr="00346278">
        <w:rPr>
          <w:rFonts w:ascii="Arial" w:hAnsi="Arial" w:cs="Arial"/>
          <w:sz w:val="20"/>
          <w:szCs w:val="20"/>
        </w:rPr>
        <w:t xml:space="preserve"> (výchozí pozice)</w:t>
      </w:r>
    </w:p>
    <w:tbl>
      <w:tblPr>
        <w:tblW w:w="5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900"/>
        <w:gridCol w:w="1960"/>
      </w:tblGrid>
      <w:tr w:rsidR="0028329A" w:rsidTr="00346278">
        <w:trPr>
          <w:trHeight w:val="290"/>
        </w:trPr>
        <w:tc>
          <w:tcPr>
            <w:tcW w:w="18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MBHS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Celkem, mil. EUR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Podíl ČR, mil. EUR</w:t>
            </w:r>
          </w:p>
        </w:tc>
      </w:tr>
      <w:tr w:rsidR="0028329A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Splacený kapitál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9B6C8C" w:rsidP="007E491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200</w:t>
            </w:r>
            <w:r w:rsidR="007E4917">
              <w:rPr>
                <w:rFonts w:ascii="Calibri" w:hAnsi="Calibri" w:cs="Calibri"/>
                <w:sz w:val="22"/>
                <w:szCs w:val="22"/>
              </w:rPr>
              <w:t>,0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28329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26</w:t>
            </w:r>
            <w:r w:rsidR="007E4917">
              <w:rPr>
                <w:rFonts w:ascii="Calibri" w:hAnsi="Calibri" w:cs="Calibri"/>
                <w:sz w:val="22"/>
                <w:szCs w:val="22"/>
              </w:rPr>
              <w:t>,</w:t>
            </w:r>
            <w:r w:rsidRPr="00346278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  <w:tr w:rsidR="0028329A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Nerozdělený zisk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9B6C8C" w:rsidP="007E491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89,7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28329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12</w:t>
            </w:r>
            <w:r w:rsidR="007E4917">
              <w:rPr>
                <w:rFonts w:ascii="Calibri" w:hAnsi="Calibri" w:cs="Calibri"/>
                <w:sz w:val="22"/>
                <w:szCs w:val="22"/>
              </w:rPr>
              <w:t>,</w:t>
            </w:r>
            <w:r w:rsidR="009B6C8C" w:rsidRPr="00346278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28329A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Zisk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9B6C8C" w:rsidP="007E491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3,7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329A" w:rsidRPr="00346278" w:rsidRDefault="0028329A" w:rsidP="007E4917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346278">
              <w:rPr>
                <w:rFonts w:ascii="Calibri" w:hAnsi="Calibri" w:cs="Calibri"/>
                <w:sz w:val="22"/>
                <w:szCs w:val="22"/>
              </w:rPr>
              <w:t>0</w:t>
            </w:r>
            <w:r w:rsidR="007E4917">
              <w:rPr>
                <w:rFonts w:ascii="Calibri" w:hAnsi="Calibri" w:cs="Calibri"/>
                <w:sz w:val="22"/>
                <w:szCs w:val="22"/>
              </w:rPr>
              <w:t>,5</w:t>
            </w:r>
          </w:p>
        </w:tc>
      </w:tr>
      <w:tr w:rsidR="0028329A" w:rsidTr="00346278">
        <w:trPr>
          <w:trHeight w:val="290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28329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Podíl ČR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9B6C8C" w:rsidP="007E4917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293,4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28329A" w:rsidRPr="00346278" w:rsidRDefault="009B6C8C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6278">
              <w:rPr>
                <w:rFonts w:ascii="Calibri" w:hAnsi="Calibri" w:cs="Calibri"/>
                <w:b/>
                <w:bCs/>
                <w:sz w:val="22"/>
                <w:szCs w:val="22"/>
              </w:rPr>
              <w:t>39,2</w:t>
            </w:r>
          </w:p>
        </w:tc>
      </w:tr>
    </w:tbl>
    <w:p w:rsidR="00392D47" w:rsidRDefault="00392D47" w:rsidP="00392D47">
      <w:pPr>
        <w:jc w:val="both"/>
        <w:rPr>
          <w:rFonts w:ascii="Arial" w:hAnsi="Arial" w:cs="Arial"/>
          <w:sz w:val="22"/>
          <w:szCs w:val="22"/>
        </w:rPr>
      </w:pPr>
    </w:p>
    <w:p w:rsidR="00647930" w:rsidRDefault="00647930" w:rsidP="00413FF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647930">
        <w:rPr>
          <w:rFonts w:ascii="Arial" w:hAnsi="Arial" w:cs="Arial"/>
          <w:sz w:val="22"/>
          <w:szCs w:val="22"/>
        </w:rPr>
        <w:t>avrhuje</w:t>
      </w:r>
      <w:r>
        <w:rPr>
          <w:rFonts w:ascii="Arial" w:hAnsi="Arial" w:cs="Arial"/>
          <w:sz w:val="22"/>
          <w:szCs w:val="22"/>
        </w:rPr>
        <w:t xml:space="preserve"> se</w:t>
      </w:r>
      <w:r w:rsidRPr="00647930">
        <w:rPr>
          <w:rFonts w:ascii="Arial" w:hAnsi="Arial" w:cs="Arial"/>
          <w:sz w:val="22"/>
          <w:szCs w:val="22"/>
        </w:rPr>
        <w:t xml:space="preserve"> vypovědět Dohodu </w:t>
      </w:r>
      <w:r>
        <w:rPr>
          <w:rFonts w:ascii="Arial" w:hAnsi="Arial" w:cs="Arial"/>
          <w:sz w:val="22"/>
          <w:szCs w:val="22"/>
        </w:rPr>
        <w:t>MBHS</w:t>
      </w:r>
      <w:r w:rsidRPr="00647930">
        <w:rPr>
          <w:rFonts w:ascii="Arial" w:hAnsi="Arial" w:cs="Arial"/>
          <w:sz w:val="22"/>
          <w:szCs w:val="22"/>
        </w:rPr>
        <w:t>, a to v co nejkratším možném termínu, tj</w:t>
      </w:r>
      <w:r w:rsidR="00440EEC" w:rsidRPr="00647930">
        <w:rPr>
          <w:rFonts w:ascii="Arial" w:hAnsi="Arial" w:cs="Arial"/>
          <w:sz w:val="22"/>
          <w:szCs w:val="22"/>
        </w:rPr>
        <w:t>.</w:t>
      </w:r>
      <w:r w:rsidR="00440EEC">
        <w:rPr>
          <w:rFonts w:ascii="Arial" w:hAnsi="Arial" w:cs="Arial"/>
          <w:sz w:val="22"/>
          <w:szCs w:val="22"/>
        </w:rPr>
        <w:t> </w:t>
      </w:r>
      <w:r w:rsidR="0024275F">
        <w:rPr>
          <w:rFonts w:ascii="Arial" w:hAnsi="Arial" w:cs="Arial"/>
          <w:sz w:val="22"/>
          <w:szCs w:val="22"/>
        </w:rPr>
        <w:t>se </w:t>
      </w:r>
      <w:r w:rsidRPr="00647930">
        <w:rPr>
          <w:rFonts w:ascii="Arial" w:hAnsi="Arial" w:cs="Arial"/>
          <w:sz w:val="22"/>
          <w:szCs w:val="22"/>
        </w:rPr>
        <w:t>šestiměsíční výpovědní lhůtou.</w:t>
      </w:r>
    </w:p>
    <w:p w:rsidR="00306F5D" w:rsidRDefault="00F820F3" w:rsidP="00413FF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F820F3">
        <w:rPr>
          <w:rFonts w:ascii="Arial" w:hAnsi="Arial" w:cs="Arial"/>
          <w:sz w:val="22"/>
          <w:szCs w:val="22"/>
        </w:rPr>
        <w:t>Zahraničně-politicko-bezpečnostní aspekty odchodu ČR z bank</w:t>
      </w:r>
      <w:r w:rsidR="0024275F">
        <w:rPr>
          <w:rFonts w:ascii="Arial" w:hAnsi="Arial" w:cs="Arial"/>
          <w:sz w:val="22"/>
          <w:szCs w:val="22"/>
        </w:rPr>
        <w:t>y</w:t>
      </w:r>
      <w:r w:rsidRPr="00F820F3">
        <w:rPr>
          <w:rFonts w:ascii="Arial" w:hAnsi="Arial" w:cs="Arial"/>
          <w:sz w:val="22"/>
          <w:szCs w:val="22"/>
        </w:rPr>
        <w:t xml:space="preserve"> jsou tak významné, že významně převyšují ekonomické ztráty, které ČR z jednostranného odchodu </w:t>
      </w:r>
      <w:r w:rsidR="00306F5D">
        <w:rPr>
          <w:rFonts w:ascii="Arial" w:hAnsi="Arial" w:cs="Arial"/>
          <w:sz w:val="22"/>
          <w:szCs w:val="22"/>
        </w:rPr>
        <w:t>hrozí.</w:t>
      </w:r>
    </w:p>
    <w:p w:rsidR="00413FFB" w:rsidRDefault="00413FFB" w:rsidP="00413FF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413FFB">
        <w:rPr>
          <w:rFonts w:ascii="Arial" w:hAnsi="Arial" w:cs="Arial"/>
          <w:sz w:val="22"/>
          <w:szCs w:val="22"/>
        </w:rPr>
        <w:t xml:space="preserve">Protože Dohoda MBHS </w:t>
      </w:r>
      <w:r w:rsidR="0024275F">
        <w:rPr>
          <w:rFonts w:ascii="Arial" w:hAnsi="Arial" w:cs="Arial"/>
          <w:sz w:val="22"/>
          <w:szCs w:val="22"/>
        </w:rPr>
        <w:t>je mezinárodní smlouvou</w:t>
      </w:r>
      <w:r w:rsidRPr="00413FFB">
        <w:rPr>
          <w:rFonts w:ascii="Arial" w:hAnsi="Arial" w:cs="Arial"/>
          <w:sz w:val="22"/>
          <w:szCs w:val="22"/>
        </w:rPr>
        <w:t xml:space="preserve"> tzv. prezidentské kategorie ve smyslu čl. 49 písm. c) Ústavy ČR, je nezbytné, aby s jejich výpověďmi vyslovily souhlas obě komory Parlamentu</w:t>
      </w:r>
      <w:r>
        <w:rPr>
          <w:rFonts w:ascii="Arial" w:hAnsi="Arial" w:cs="Arial"/>
          <w:sz w:val="22"/>
          <w:szCs w:val="22"/>
        </w:rPr>
        <w:t xml:space="preserve"> (zásada procesní ekvivalence).</w:t>
      </w:r>
    </w:p>
    <w:p w:rsidR="0024275F" w:rsidRDefault="0024275F" w:rsidP="0024275F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Navrhuje se, aby Poslanecká sněmovna Parlamentu ČR </w:t>
      </w:r>
      <w:r w:rsidRPr="003A22DB">
        <w:rPr>
          <w:rFonts w:ascii="Arial" w:hAnsi="Arial" w:cs="Arial"/>
          <w:sz w:val="22"/>
          <w:szCs w:val="22"/>
        </w:rPr>
        <w:t>vyslov</w:t>
      </w:r>
      <w:r>
        <w:rPr>
          <w:rFonts w:ascii="Arial" w:hAnsi="Arial" w:cs="Arial"/>
          <w:sz w:val="22"/>
          <w:szCs w:val="22"/>
        </w:rPr>
        <w:t xml:space="preserve">ila souhlas s návrhem </w:t>
      </w:r>
      <w:r w:rsidRPr="003A22DB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 </w:t>
      </w:r>
      <w:r w:rsidRPr="003A22DB">
        <w:rPr>
          <w:rFonts w:ascii="Arial" w:hAnsi="Arial" w:cs="Arial"/>
          <w:sz w:val="22"/>
          <w:szCs w:val="22"/>
        </w:rPr>
        <w:t>prvém čtení</w:t>
      </w:r>
      <w:r>
        <w:rPr>
          <w:rFonts w:ascii="Arial" w:hAnsi="Arial" w:cs="Arial"/>
          <w:sz w:val="22"/>
          <w:szCs w:val="22"/>
        </w:rPr>
        <w:t xml:space="preserve"> </w:t>
      </w:r>
      <w:r w:rsidRPr="003A22DB">
        <w:rPr>
          <w:rFonts w:ascii="Arial" w:hAnsi="Arial" w:cs="Arial"/>
          <w:sz w:val="22"/>
          <w:szCs w:val="22"/>
        </w:rPr>
        <w:t>dle § 90 odst. 2</w:t>
      </w:r>
      <w:r>
        <w:rPr>
          <w:rFonts w:ascii="Arial" w:hAnsi="Arial" w:cs="Arial"/>
          <w:sz w:val="22"/>
          <w:szCs w:val="22"/>
        </w:rPr>
        <w:t xml:space="preserve"> </w:t>
      </w:r>
      <w:r w:rsidR="00440EEC">
        <w:rPr>
          <w:rFonts w:ascii="Arial" w:hAnsi="Arial" w:cs="Arial"/>
          <w:sz w:val="22"/>
          <w:szCs w:val="22"/>
        </w:rPr>
        <w:t>Z</w:t>
      </w:r>
      <w:r w:rsidRPr="00537254">
        <w:rPr>
          <w:rFonts w:ascii="Arial" w:hAnsi="Arial" w:cs="Arial"/>
          <w:sz w:val="22"/>
          <w:szCs w:val="22"/>
        </w:rPr>
        <w:t>ákon</w:t>
      </w:r>
      <w:r>
        <w:rPr>
          <w:rFonts w:ascii="Arial" w:hAnsi="Arial" w:cs="Arial"/>
          <w:sz w:val="22"/>
          <w:szCs w:val="22"/>
        </w:rPr>
        <w:t>a</w:t>
      </w:r>
      <w:r w:rsidRPr="00537254">
        <w:rPr>
          <w:rFonts w:ascii="Arial" w:hAnsi="Arial" w:cs="Arial"/>
          <w:sz w:val="22"/>
          <w:szCs w:val="22"/>
        </w:rPr>
        <w:t xml:space="preserve"> o jednacím řádu Poslanecké sněmovny</w:t>
      </w:r>
      <w:r>
        <w:rPr>
          <w:rFonts w:ascii="Arial" w:hAnsi="Arial" w:cs="Arial"/>
          <w:sz w:val="22"/>
          <w:szCs w:val="22"/>
        </w:rPr>
        <w:t>, a to z důvodu výše uvedených bezprecedentních zahraničněpolitických okolností, které si žádají promptní a jasnou reakci.</w:t>
      </w:r>
    </w:p>
    <w:p w:rsidR="0024275F" w:rsidRPr="00413FFB" w:rsidRDefault="0024275F" w:rsidP="00413FFB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F820F3" w:rsidRDefault="00F820F3" w:rsidP="00306F5D">
      <w:pPr>
        <w:jc w:val="both"/>
        <w:rPr>
          <w:rFonts w:ascii="Arial" w:hAnsi="Arial" w:cs="Arial"/>
          <w:sz w:val="22"/>
          <w:szCs w:val="22"/>
        </w:rPr>
      </w:pPr>
    </w:p>
    <w:p w:rsidR="00F820F3" w:rsidRDefault="00F820F3" w:rsidP="00F820F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F820F3" w:rsidRDefault="00F820F3" w:rsidP="00F820F3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9A2EE8" w:rsidRPr="00ED4EBD" w:rsidRDefault="009A2EE8" w:rsidP="009A2EE8">
      <w:pPr>
        <w:jc w:val="both"/>
        <w:rPr>
          <w:rFonts w:ascii="Arial" w:hAnsi="Arial" w:cs="Arial"/>
          <w:sz w:val="22"/>
          <w:szCs w:val="22"/>
        </w:rPr>
      </w:pPr>
    </w:p>
    <w:sectPr w:rsidR="009A2EE8" w:rsidRPr="00ED4EBD">
      <w:footerReference w:type="default" r:id="rId6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BB" w:rsidRDefault="00FC08BB">
      <w:r>
        <w:separator/>
      </w:r>
    </w:p>
  </w:endnote>
  <w:endnote w:type="continuationSeparator" w:id="0">
    <w:p w:rsidR="00FC08BB" w:rsidRDefault="00FC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CD" w:rsidRPr="00C110F9" w:rsidRDefault="00517DCD" w:rsidP="00C110F9">
    <w:pPr>
      <w:pStyle w:val="Zpat"/>
      <w:jc w:val="center"/>
      <w:rPr>
        <w:sz w:val="20"/>
        <w:szCs w:val="20"/>
      </w:rPr>
    </w:pPr>
    <w:r w:rsidRPr="00C110F9">
      <w:rPr>
        <w:sz w:val="20"/>
        <w:szCs w:val="20"/>
      </w:rPr>
      <w:t xml:space="preserve">- </w:t>
    </w:r>
    <w:r w:rsidRPr="00C110F9">
      <w:rPr>
        <w:sz w:val="20"/>
        <w:szCs w:val="20"/>
      </w:rPr>
      <w:fldChar w:fldCharType="begin"/>
    </w:r>
    <w:r w:rsidRPr="00C110F9">
      <w:rPr>
        <w:sz w:val="20"/>
        <w:szCs w:val="20"/>
      </w:rPr>
      <w:instrText xml:space="preserve"> PAGE </w:instrText>
    </w:r>
    <w:r w:rsidRPr="00C110F9">
      <w:rPr>
        <w:sz w:val="20"/>
        <w:szCs w:val="20"/>
      </w:rPr>
      <w:fldChar w:fldCharType="separate"/>
    </w:r>
    <w:r w:rsidR="001C7EFB">
      <w:rPr>
        <w:noProof/>
        <w:sz w:val="20"/>
        <w:szCs w:val="20"/>
      </w:rPr>
      <w:t>2</w:t>
    </w:r>
    <w:r w:rsidRPr="00C110F9">
      <w:rPr>
        <w:sz w:val="20"/>
        <w:szCs w:val="20"/>
      </w:rPr>
      <w:fldChar w:fldCharType="end"/>
    </w:r>
    <w:r w:rsidRPr="00C110F9">
      <w:rPr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BB" w:rsidRDefault="00FC08BB">
      <w:r>
        <w:separator/>
      </w:r>
    </w:p>
  </w:footnote>
  <w:footnote w:type="continuationSeparator" w:id="0">
    <w:p w:rsidR="00FC08BB" w:rsidRDefault="00FC0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C0B"/>
    <w:rsid w:val="00003ED0"/>
    <w:rsid w:val="000338E4"/>
    <w:rsid w:val="000353F8"/>
    <w:rsid w:val="000368B3"/>
    <w:rsid w:val="00081739"/>
    <w:rsid w:val="000C6DE7"/>
    <w:rsid w:val="000E0B3C"/>
    <w:rsid w:val="0017769F"/>
    <w:rsid w:val="00193610"/>
    <w:rsid w:val="001C6D4F"/>
    <w:rsid w:val="001C7EFB"/>
    <w:rsid w:val="001D4FDB"/>
    <w:rsid w:val="001E0BBF"/>
    <w:rsid w:val="00216D41"/>
    <w:rsid w:val="00230205"/>
    <w:rsid w:val="002331DE"/>
    <w:rsid w:val="0024275F"/>
    <w:rsid w:val="002440BD"/>
    <w:rsid w:val="00280E3F"/>
    <w:rsid w:val="0028329A"/>
    <w:rsid w:val="00297054"/>
    <w:rsid w:val="002A430F"/>
    <w:rsid w:val="002A672E"/>
    <w:rsid w:val="002B6C17"/>
    <w:rsid w:val="002C1C20"/>
    <w:rsid w:val="002D5F23"/>
    <w:rsid w:val="00306F5D"/>
    <w:rsid w:val="003130CC"/>
    <w:rsid w:val="00323382"/>
    <w:rsid w:val="00342072"/>
    <w:rsid w:val="00346278"/>
    <w:rsid w:val="0035784F"/>
    <w:rsid w:val="00361DDC"/>
    <w:rsid w:val="003677B5"/>
    <w:rsid w:val="00371422"/>
    <w:rsid w:val="00392D47"/>
    <w:rsid w:val="003A59AF"/>
    <w:rsid w:val="003B55C6"/>
    <w:rsid w:val="003E6F7D"/>
    <w:rsid w:val="003F0CA0"/>
    <w:rsid w:val="0040404C"/>
    <w:rsid w:val="00406C16"/>
    <w:rsid w:val="00413FFB"/>
    <w:rsid w:val="00421876"/>
    <w:rsid w:val="00422CA2"/>
    <w:rsid w:val="00440EEC"/>
    <w:rsid w:val="004538E6"/>
    <w:rsid w:val="004A54DB"/>
    <w:rsid w:val="004C2325"/>
    <w:rsid w:val="00517DCD"/>
    <w:rsid w:val="005476CA"/>
    <w:rsid w:val="00560822"/>
    <w:rsid w:val="005647D0"/>
    <w:rsid w:val="0056661A"/>
    <w:rsid w:val="00574B2B"/>
    <w:rsid w:val="005A6304"/>
    <w:rsid w:val="00643561"/>
    <w:rsid w:val="00647930"/>
    <w:rsid w:val="006858E5"/>
    <w:rsid w:val="00696458"/>
    <w:rsid w:val="006D0316"/>
    <w:rsid w:val="006E70BC"/>
    <w:rsid w:val="00724C20"/>
    <w:rsid w:val="007A0E35"/>
    <w:rsid w:val="007C439F"/>
    <w:rsid w:val="007E33DA"/>
    <w:rsid w:val="007E4917"/>
    <w:rsid w:val="007F16DF"/>
    <w:rsid w:val="00804CE1"/>
    <w:rsid w:val="00810743"/>
    <w:rsid w:val="00815B58"/>
    <w:rsid w:val="0085300A"/>
    <w:rsid w:val="008B303C"/>
    <w:rsid w:val="008C1953"/>
    <w:rsid w:val="008D0B89"/>
    <w:rsid w:val="008F6257"/>
    <w:rsid w:val="00942359"/>
    <w:rsid w:val="00955F95"/>
    <w:rsid w:val="00990E91"/>
    <w:rsid w:val="009A13EC"/>
    <w:rsid w:val="009A2EE8"/>
    <w:rsid w:val="009B6C8C"/>
    <w:rsid w:val="009F4360"/>
    <w:rsid w:val="00A0291F"/>
    <w:rsid w:val="00A21197"/>
    <w:rsid w:val="00A8681C"/>
    <w:rsid w:val="00A90BF6"/>
    <w:rsid w:val="00AB5907"/>
    <w:rsid w:val="00AC4535"/>
    <w:rsid w:val="00AC4CBB"/>
    <w:rsid w:val="00B300B7"/>
    <w:rsid w:val="00B52072"/>
    <w:rsid w:val="00BA48C3"/>
    <w:rsid w:val="00BB42AC"/>
    <w:rsid w:val="00C066CA"/>
    <w:rsid w:val="00C110F9"/>
    <w:rsid w:val="00C51BCF"/>
    <w:rsid w:val="00C65D92"/>
    <w:rsid w:val="00C84D3F"/>
    <w:rsid w:val="00C9742C"/>
    <w:rsid w:val="00CB4C0B"/>
    <w:rsid w:val="00CE46C7"/>
    <w:rsid w:val="00CF4EC4"/>
    <w:rsid w:val="00D05324"/>
    <w:rsid w:val="00D0670E"/>
    <w:rsid w:val="00D26CB4"/>
    <w:rsid w:val="00D43355"/>
    <w:rsid w:val="00D6416C"/>
    <w:rsid w:val="00D8204E"/>
    <w:rsid w:val="00D9250E"/>
    <w:rsid w:val="00DA3111"/>
    <w:rsid w:val="00DA3CB5"/>
    <w:rsid w:val="00DA45D9"/>
    <w:rsid w:val="00DB3512"/>
    <w:rsid w:val="00E0734D"/>
    <w:rsid w:val="00E553A4"/>
    <w:rsid w:val="00E82710"/>
    <w:rsid w:val="00E92498"/>
    <w:rsid w:val="00E965DB"/>
    <w:rsid w:val="00EB11BC"/>
    <w:rsid w:val="00ED4EBD"/>
    <w:rsid w:val="00ED5A5D"/>
    <w:rsid w:val="00EF07A1"/>
    <w:rsid w:val="00F820F3"/>
    <w:rsid w:val="00F837E4"/>
    <w:rsid w:val="00FB1CB9"/>
    <w:rsid w:val="00FC08BB"/>
    <w:rsid w:val="00FD45EB"/>
    <w:rsid w:val="00FE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stroke weight="1.5pt"/>
    </o:shapedefaults>
    <o:shapelayout v:ext="edit">
      <o:idmap v:ext="edit" data="1"/>
    </o:shapelayout>
  </w:shapeDefaults>
  <w:decimalSymbol w:val=","/>
  <w:listSeparator w:val=";"/>
  <w14:docId w14:val="1CD9862C"/>
  <w15:chartTrackingRefBased/>
  <w15:docId w15:val="{EA5060E0-29B1-41DD-8F7B-243C2FCE7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7A0E35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C110F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110F9"/>
    <w:pPr>
      <w:tabs>
        <w:tab w:val="center" w:pos="4536"/>
        <w:tab w:val="right" w:pos="9072"/>
      </w:tabs>
    </w:pPr>
  </w:style>
  <w:style w:type="character" w:styleId="Odkaznakoment">
    <w:name w:val="annotation reference"/>
    <w:basedOn w:val="Standardnpsmoodstavce"/>
    <w:uiPriority w:val="99"/>
    <w:semiHidden/>
    <w:unhideWhenUsed/>
    <w:rsid w:val="009A2E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A2EE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A2EE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A2E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A2E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771</Words>
  <Characters>4552</Characters>
  <Application>Microsoft Office Word</Application>
  <DocSecurity>0</DocSecurity>
  <Lines>37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"[Klepněte sem a vložte římské číslo dle čísla na obálce</vt:lpstr>
      <vt:lpstr>"[Klepněte sem a vložte římské číslo dle čísla na obálce</vt:lpstr>
    </vt:vector>
  </TitlesOfParts>
  <Company>uvcr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"[Klepněte sem a vložte římské číslo dle čísla na obálce</dc:title>
  <dc:subject/>
  <dc:creator>Lídlová Georgiu Alena</dc:creator>
  <cp:keywords/>
  <cp:lastModifiedBy>Lídlová Georgiu Alena</cp:lastModifiedBy>
  <cp:revision>3</cp:revision>
  <cp:lastPrinted>2022-03-01T14:26:00Z</cp:lastPrinted>
  <dcterms:created xsi:type="dcterms:W3CDTF">2022-03-01T11:41:00Z</dcterms:created>
  <dcterms:modified xsi:type="dcterms:W3CDTF">2022-03-01T15:55:00Z</dcterms:modified>
</cp:coreProperties>
</file>